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Название документа</w:t>
      </w:r>
    </w:p>
    <w:p>
      <w:pPr>
        <w:pStyle w:val="0"/>
        <w:jc w:val="both"/>
      </w:pPr>
      <w:r>
        <w:rPr>
          <w:sz w:val="20"/>
        </w:rPr>
        <w:t xml:space="preserve">Решение Пермского УФАС России от 05.02.2021</w:t>
      </w:r>
    </w:p>
    <w:p>
      <w:pPr>
        <w:pStyle w:val="0"/>
        <w:jc w:val="both"/>
      </w:pPr>
      <w:r>
        <w:rPr>
          <w:sz w:val="20"/>
        </w:rPr>
        <w:t xml:space="preserve">Обстоятельства: Поступила жалоба на действия Конкурсной комиссии при проведении открытого конкурса в электронной форме на выполнение работ в 2021 году по изготовлению протезов нижних конечностей для обеспечения инвалидов и отдельных категорий граждан из числа ветеранов, Заявитель полагает, что Конкурсная комиссия неправомерно допустила заявку ООО к участию в конкурсе, так как с учетом предмета закупки участник должен иметь соответствующий ОКВЭД, позволяющий осуществлять соответствующую деятельность.</w:t>
      </w:r>
    </w:p>
    <w:p>
      <w:pPr>
        <w:pStyle w:val="0"/>
        <w:jc w:val="both"/>
      </w:pPr>
      <w:r>
        <w:rPr>
          <w:sz w:val="20"/>
        </w:rPr>
        <w:t xml:space="preserve">Решение: Признать жалобу необоснованной.</w:t>
      </w:r>
    </w:p>
    <w:p>
      <w:pPr>
        <w:pStyle w:val="0"/>
      </w:pPr>
      <w:r>
        <w:rPr>
          <w:sz w:val="20"/>
          <w:b w:val="on"/>
        </w:rPr>
        <w:t xml:space="preserve">Примечание к документу</w:t>
      </w:r>
    </w:p>
    <w:p>
      <w:pPr>
        <w:pStyle w:val="0"/>
        <w:jc w:val="both"/>
      </w:pPr>
      <w:r>
        <w:rPr>
          <w:sz w:val="20"/>
        </w:rPr>
        <w:t xml:space="preserve">Текст документа приведен в соответствии с публикацией на сайте </w:t>
      </w:r>
      <w:r>
        <w:rPr>
          <w:sz w:val="20"/>
        </w:rPr>
        <w:t xml:space="preserve">https://zakupki.gov.ru</w:t>
      </w:r>
      <w:r>
        <w:rPr>
          <w:sz w:val="20"/>
        </w:rPr>
        <w:t xml:space="preserve"> по состоянию на 11.02.2021.</w:t>
      </w:r>
    </w:p>
    <w:p>
      <w:pPr>
        <w:pStyle w:val="0"/>
        <w:spacing w:before="200" w:line-rule="auto"/>
      </w:pPr>
      <w:r>
        <w:rPr>
          <w:sz w:val="20"/>
          <w:b w:val="on"/>
        </w:rPr>
        <w:t xml:space="preserve">Текст документа</w:t>
      </w:r>
    </w:p>
    <w:p>
      <w:pPr>
        <w:pStyle w:val="0"/>
        <w:outlineLvl w:val="0"/>
        <w:ind w:firstLine="540"/>
        <w:jc w:val="both"/>
      </w:pPr>
      <w:r>
        <w:rPr>
          <w:sz w:val="20"/>
        </w:rPr>
      </w:r>
    </w:p>
    <w:p>
      <w:pPr>
        <w:pStyle w:val="2"/>
        <w:outlineLvl w:val="0"/>
        <w:jc w:val="center"/>
      </w:pPr>
      <w:r>
        <w:rPr>
          <w:sz w:val="20"/>
        </w:rPr>
        <w:t xml:space="preserve">УПРАВЛЕНИЕ ФЕДЕРАЛЬНОЙ АНТИМОНОПОЛЬНОЙ СЛУЖБЫ</w:t>
      </w:r>
    </w:p>
    <w:p>
      <w:pPr>
        <w:pStyle w:val="2"/>
        <w:jc w:val="center"/>
      </w:pPr>
      <w:r>
        <w:rPr>
          <w:sz w:val="20"/>
        </w:rPr>
        <w:t xml:space="preserve">ПО ПЕРМСКОМУ КРАЮ</w:t>
      </w:r>
    </w:p>
    <w:p>
      <w:pPr>
        <w:pStyle w:val="2"/>
        <w:jc w:val="center"/>
      </w:pPr>
      <w:r>
        <w:rPr>
          <w:sz w:val="20"/>
        </w:rPr>
      </w:r>
    </w:p>
    <w:p>
      <w:pPr>
        <w:pStyle w:val="2"/>
        <w:jc w:val="center"/>
      </w:pPr>
      <w:r>
        <w:rPr>
          <w:sz w:val="20"/>
        </w:rPr>
        <w:t xml:space="preserve">РЕШЕНИЕ</w:t>
      </w:r>
    </w:p>
    <w:p>
      <w:pPr>
        <w:pStyle w:val="2"/>
        <w:jc w:val="center"/>
      </w:pPr>
      <w:r>
        <w:rPr>
          <w:sz w:val="20"/>
        </w:rPr>
        <w:t xml:space="preserve">от 5 февраля 2021 года</w:t>
      </w:r>
    </w:p>
    <w:p>
      <w:pPr>
        <w:pStyle w:val="2"/>
        <w:jc w:val="center"/>
      </w:pPr>
      <w:r>
        <w:rPr>
          <w:sz w:val="20"/>
        </w:rPr>
      </w:r>
    </w:p>
    <w:p>
      <w:pPr>
        <w:pStyle w:val="2"/>
        <w:jc w:val="center"/>
      </w:pPr>
      <w:r>
        <w:rPr>
          <w:sz w:val="20"/>
        </w:rPr>
        <w:t xml:space="preserve">ПО ЖАЛОБЕ ЗАО "О"</w:t>
      </w:r>
    </w:p>
    <w:p>
      <w:pPr>
        <w:pStyle w:val="2"/>
        <w:jc w:val="center"/>
      </w:pPr>
      <w:r>
        <w:rPr>
          <w:sz w:val="20"/>
        </w:rPr>
        <w:t xml:space="preserve">О НАРУШЕНИИ ЗАКОНОДАТЕЛЬСТВА О КОНТРАКТНОЙ СИСТЕМЕ</w:t>
      </w:r>
    </w:p>
    <w:p>
      <w:pPr>
        <w:pStyle w:val="0"/>
        <w:ind w:firstLine="540"/>
        <w:jc w:val="both"/>
      </w:pPr>
      <w:r>
        <w:rPr>
          <w:sz w:val="20"/>
        </w:rPr>
      </w:r>
    </w:p>
    <w:p>
      <w:pPr>
        <w:pStyle w:val="0"/>
        <w:ind w:firstLine="540"/>
        <w:jc w:val="both"/>
      </w:pPr>
      <w:r>
        <w:rPr>
          <w:sz w:val="20"/>
        </w:rPr>
        <w:t xml:space="preserve">Комиссия Управления Федеральной антимонопольной службы по Пермскому краю (далее - Комиссия),</w:t>
      </w:r>
    </w:p>
    <w:p>
      <w:pPr>
        <w:pStyle w:val="0"/>
        <w:spacing w:before="200" w:line-rule="auto"/>
        <w:ind w:firstLine="540"/>
        <w:jc w:val="both"/>
      </w:pPr>
      <w:r>
        <w:rPr>
          <w:sz w:val="20"/>
        </w:rPr>
        <w:t xml:space="preserve">рассмотрев жалобу ЗАО "О" (далее - Заявитель) на действия ГУ - Пермское РО Фонда социального страхования Российской Федерации (далее - Заказчик), Единой комиссии (далее - Конкурсная комиссия) при проведении открытого конкурса в электронной форме на выполнение работ в 2021 году по изготовлению протезов нижних конечностей для обеспечения инвалидов и отдельных категорий граждан из числа ветеранов, проживающих на территории Пермского края (изв. N 0256100000220000379),</w:t>
      </w:r>
    </w:p>
    <w:p>
      <w:pPr>
        <w:pStyle w:val="0"/>
        <w:jc w:val="center"/>
      </w:pPr>
      <w:r>
        <w:rPr>
          <w:sz w:val="20"/>
        </w:rPr>
      </w:r>
    </w:p>
    <w:p>
      <w:pPr>
        <w:pStyle w:val="0"/>
        <w:jc w:val="center"/>
      </w:pPr>
      <w:r>
        <w:rPr>
          <w:sz w:val="20"/>
        </w:rPr>
        <w:t xml:space="preserve">установила:</w:t>
      </w:r>
    </w:p>
    <w:p>
      <w:pPr>
        <w:pStyle w:val="0"/>
        <w:jc w:val="center"/>
      </w:pPr>
      <w:r>
        <w:rPr>
          <w:sz w:val="20"/>
        </w:rPr>
      </w:r>
    </w:p>
    <w:p>
      <w:pPr>
        <w:pStyle w:val="0"/>
        <w:ind w:firstLine="540"/>
        <w:jc w:val="both"/>
      </w:pPr>
      <w:r>
        <w:rPr>
          <w:sz w:val="20"/>
        </w:rPr>
        <w:t xml:space="preserve">Заявитель полагает, что нормы Федерального </w:t>
      </w:r>
      <w:r>
        <w:rPr>
          <w:sz w:val="20"/>
        </w:rPr>
        <w:t xml:space="preserve">закона</w:t>
      </w:r>
      <w:r>
        <w:rPr>
          <w:sz w:val="20"/>
        </w:rPr>
        <w:t xml:space="preserve"> от 05.04.2013 г. N 44-ФЗ "О контрактной системе в сфере закупок товаров, работ, услуг для обеспечения государственных и муниципальных нужд" (далее - Закон о контрактной системе) нарушены действиями Заказчика, Конкурсной комиссии.</w:t>
      </w:r>
    </w:p>
    <w:p>
      <w:pPr>
        <w:pStyle w:val="0"/>
        <w:spacing w:before="200" w:line-rule="auto"/>
        <w:ind w:firstLine="540"/>
        <w:jc w:val="both"/>
      </w:pPr>
      <w:r>
        <w:rPr>
          <w:sz w:val="20"/>
        </w:rPr>
        <w:t xml:space="preserve">В ходе рассмотрения жалобы и в ходе проведения внеплановой проверки, осуществленной Комиссией Пермского УФАС России в соответствии с </w:t>
      </w:r>
      <w:r>
        <w:rPr>
          <w:sz w:val="20"/>
        </w:rPr>
        <w:t xml:space="preserve">ч. 3 ст. 99</w:t>
      </w:r>
      <w:r>
        <w:rPr>
          <w:sz w:val="20"/>
        </w:rPr>
        <w:t xml:space="preserve"> Закона о контрактной системе, в соответствии "Административным </w:t>
      </w:r>
      <w:r>
        <w:rPr>
          <w:sz w:val="20"/>
        </w:rPr>
        <w:t xml:space="preserve">регламентом</w:t>
      </w:r>
      <w:r>
        <w:rPr>
          <w:sz w:val="20"/>
        </w:rPr>
        <w:t xml:space="preserve"> Федеральной антимонопольной службы по исполнению государственной функции по рассмотрению жалоб на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должностного лица контрактной службы, контрактного управляющего, оператора электронной площадки при определении поставщиков (подрядчиков, исполнителей) для обеспечения государственных и муниципальных нужд", утвержденным Приказом ФАС России от 19.11.2014 N 727/14, установлено следующее.</w:t>
      </w:r>
    </w:p>
    <w:p>
      <w:pPr>
        <w:pStyle w:val="0"/>
        <w:spacing w:before="200" w:line-rule="auto"/>
        <w:ind w:firstLine="540"/>
        <w:jc w:val="both"/>
      </w:pPr>
      <w:r>
        <w:rPr>
          <w:sz w:val="20"/>
        </w:rPr>
        <w:t xml:space="preserve">Согласно извещению N 0256100000220000379 Заказчиком проводился открытый конкурс в электронной форме на выполнение работ в 2021 году по изготовлению протезов нижних конечностей для обеспечения инвалидов и отдельных категорий граждан из числа ветеранов, проживающих на территории Пермского края. НМЦК - 4 500 000,00 руб.</w:t>
      </w:r>
    </w:p>
    <w:p>
      <w:pPr>
        <w:pStyle w:val="0"/>
        <w:spacing w:before="200" w:line-rule="auto"/>
        <w:ind w:firstLine="540"/>
        <w:jc w:val="both"/>
      </w:pPr>
      <w:r>
        <w:rPr>
          <w:sz w:val="20"/>
        </w:rPr>
        <w:t xml:space="preserve">Заявитель полагает, что Конкурсная комиссия неправомерно допустила заявку ООО "У" к участию в конкурсе, так как с учетом предмета закупки участник должен иметь соответствующий ОКВЭД, позволяющий осуществлять соответствующую деятельность.</w:t>
      </w:r>
    </w:p>
    <w:p>
      <w:pPr>
        <w:pStyle w:val="0"/>
        <w:spacing w:before="200" w:line-rule="auto"/>
        <w:ind w:firstLine="540"/>
        <w:jc w:val="both"/>
      </w:pPr>
      <w:r>
        <w:rPr>
          <w:sz w:val="20"/>
        </w:rPr>
        <w:t xml:space="preserve">Из пояснений Конкурсной комиссии следует, что согласно Уставу ООО "У", Общество осуществляет, в том числе производство ортопедических изделий и их составных частей, оказание протезно-ортопедической помощи населению путем производства полуфабрикатов для изготовления протезно-ортопедических изделий и их реализация и т.д.</w:t>
      </w:r>
    </w:p>
    <w:p>
      <w:pPr>
        <w:pStyle w:val="0"/>
        <w:spacing w:before="200" w:line-rule="auto"/>
        <w:outlineLvl w:val="1"/>
        <w:ind w:firstLine="540"/>
        <w:jc w:val="both"/>
      </w:pPr>
      <w:r>
        <w:rPr>
          <w:sz w:val="20"/>
        </w:rPr>
        <w:t xml:space="preserve">Анализ положений Федерального </w:t>
      </w:r>
      <w:r>
        <w:rPr>
          <w:sz w:val="20"/>
        </w:rPr>
        <w:t xml:space="preserve">закона</w:t>
      </w:r>
      <w:r>
        <w:rPr>
          <w:sz w:val="20"/>
        </w:rPr>
        <w:t xml:space="preserve"> от 08.08.2001 N 129-ФЗ "О государственной регистрации юридических лиц и индивидуальных предпринимателей" также указывает, что сообщение юридическим лицом в регистрирующий орган сведения о видах осуществляемой им экономической деятельности (о кодах ОКВЭД) носит уведомительный, а не разрешительный характер. Отсутствие сведений о соответствующем коде по ОКВЭД в ЕГРЮЛ не является препятствием для участия в конкурентной процедуре. Присвоение кодов по ОКВЭД имеет своей целью лишь классификацию и кодирование видов экономической деятельности и информации о них, присвоение организации какого-либо кода по ОКВЭД не лишает ее права на осуществление иных видов деятельности. Действующее законодательство не содержит запрет на осуществление организациями деятельности, код ОКВЭД которой не отражен в их учредительных документов.</w:t>
      </w:r>
    </w:p>
    <w:p>
      <w:pPr>
        <w:pStyle w:val="0"/>
        <w:spacing w:before="200" w:line-rule="auto"/>
        <w:ind w:firstLine="540"/>
        <w:jc w:val="both"/>
      </w:pPr>
      <w:r>
        <w:rPr>
          <w:sz w:val="20"/>
        </w:rPr>
        <w:t xml:space="preserve">Также, Конкурсная комиссия поясняет, что требования заявителя о необходимости наличия в Выписке из ЕГРЮЛ вида деятельности с кодом 32.50 противоречит предмету закупки, поскольку указанный код не содержит позиции "изготовление протезов нижних конечностей".</w:t>
      </w:r>
    </w:p>
    <w:p>
      <w:pPr>
        <w:pStyle w:val="0"/>
        <w:spacing w:before="200" w:line-rule="auto"/>
        <w:ind w:firstLine="540"/>
        <w:jc w:val="both"/>
      </w:pPr>
      <w:r>
        <w:rPr>
          <w:sz w:val="20"/>
        </w:rPr>
        <w:t xml:space="preserve">В соответствии с частью 1 статьи 83.2 Закона о закупках по результатам электронной процедуры контракт заключается с победителем электронной процедуры, а в случаях, предусмотренных </w:t>
      </w:r>
      <w:r>
        <w:rPr>
          <w:sz w:val="20"/>
        </w:rPr>
        <w:t xml:space="preserve">Законом</w:t>
      </w:r>
      <w:r>
        <w:rPr>
          <w:sz w:val="20"/>
        </w:rPr>
        <w:t xml:space="preserve"> о контрактной системе, с иным участником этой процедуры, заявка которого на участие в этой процедуре признана соответствующей требованиям, установленным документацией и (или) извещением о закупке.</w:t>
      </w:r>
    </w:p>
    <w:p>
      <w:pPr>
        <w:pStyle w:val="0"/>
        <w:spacing w:before="200" w:line-rule="auto"/>
        <w:ind w:firstLine="540"/>
        <w:jc w:val="both"/>
      </w:pPr>
      <w:r>
        <w:rPr>
          <w:sz w:val="20"/>
        </w:rPr>
        <w:t xml:space="preserve">Согласно п. 1 ч. 1 ст. 31 Закона о закупках при осуществлении закупки заказчик устанавливает требования к участникам закупки о соответствии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pPr>
        <w:pStyle w:val="0"/>
        <w:spacing w:before="200" w:line-rule="auto"/>
        <w:ind w:firstLine="540"/>
        <w:jc w:val="both"/>
      </w:pPr>
      <w:r>
        <w:rPr>
          <w:sz w:val="20"/>
        </w:rPr>
        <w:t xml:space="preserve">В соответствии с п. 2 ч. 3 ст. 54.2 Закона о закупках требования, предъявляемые к участникам открытого конкурса в электронной форме, и исчерпывающий перечень документов, которые должны быть представлены участниками открытого конкурса в электронной форме в соответствии с пунктом 1 части 1 статьи 31 настоящего Федерального закона, а также требование, предъявляемое к участникам открытого конкурса в электронной форме в соответствии с частью 1.1 (при наличии такого требования) статьи 31 настоящего Федерального закона.</w:t>
      </w:r>
    </w:p>
    <w:p>
      <w:pPr>
        <w:pStyle w:val="0"/>
        <w:spacing w:before="200" w:line-rule="auto"/>
        <w:ind w:firstLine="540"/>
        <w:jc w:val="both"/>
      </w:pPr>
      <w:r>
        <w:rPr>
          <w:sz w:val="20"/>
        </w:rPr>
        <w:t xml:space="preserve">Согласно ч. 1 ст. 54.3 Закона о закупках 1. Конкурсная документация наряду с информацией, указанной в извещении о проведении открытого конкурса в электронной форме, должна содержать:</w:t>
      </w:r>
    </w:p>
    <w:p>
      <w:pPr>
        <w:pStyle w:val="0"/>
        <w:spacing w:before="200" w:line-rule="auto"/>
        <w:ind w:firstLine="540"/>
        <w:jc w:val="both"/>
      </w:pPr>
      <w:r>
        <w:rPr>
          <w:sz w:val="20"/>
        </w:rPr>
        <w:t xml:space="preserve">1) наименование и описание объекта закупки и условий контракта в соответствии со статьей 33 настоящего Федерального закона, в том числе обоснование начальной (максимальной) цены контракта, начальных цен единиц товара, работы, услуги;</w:t>
      </w:r>
    </w:p>
    <w:p>
      <w:pPr>
        <w:pStyle w:val="0"/>
        <w:spacing w:before="200" w:line-rule="auto"/>
        <w:ind w:firstLine="540"/>
        <w:jc w:val="both"/>
      </w:pPr>
      <w:r>
        <w:rPr>
          <w:sz w:val="20"/>
        </w:rPr>
        <w:t xml:space="preserve">2) информацию о валюте, используемой для формирования цены контракта и расчетов с поставщиком (подрядчиком, исполнителем);</w:t>
      </w:r>
    </w:p>
    <w:p>
      <w:pPr>
        <w:pStyle w:val="0"/>
        <w:spacing w:before="200" w:line-rule="auto"/>
        <w:ind w:firstLine="540"/>
        <w:jc w:val="both"/>
      </w:pPr>
      <w:r>
        <w:rPr>
          <w:sz w:val="20"/>
        </w:rPr>
        <w:t xml:space="preserve">3)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p>
      <w:pPr>
        <w:pStyle w:val="0"/>
        <w:spacing w:before="200" w:line-rule="auto"/>
        <w:ind w:firstLine="540"/>
        <w:jc w:val="both"/>
      </w:pPr>
      <w:r>
        <w:rPr>
          <w:sz w:val="20"/>
        </w:rPr>
        <w:t xml:space="preserve">4) предусмотренные статьей 54.4 настоящего Федерального закона требования к содержанию, в том числе к описанию предложения участника открытого конкурса в электронной форме, к составу заявки на участие в открытом конкурсе в электронной форме и инструкцию по ее заполнению, при этом не допускается установление требований, влекущих за собой ограничение количества участников закупки или ограничение доступа к участию в открытом конкурсе в электронной форме;</w:t>
      </w:r>
    </w:p>
    <w:p>
      <w:pPr>
        <w:pStyle w:val="0"/>
        <w:spacing w:before="200" w:line-rule="auto"/>
        <w:ind w:firstLine="540"/>
        <w:jc w:val="both"/>
      </w:pPr>
      <w:r>
        <w:rPr>
          <w:sz w:val="20"/>
        </w:rPr>
        <w:t xml:space="preserve">5) информацию о возможности заказчика изменить условия контракта в соответствии с настоящим Федеральным законом;</w:t>
      </w:r>
    </w:p>
    <w:p>
      <w:pPr>
        <w:pStyle w:val="0"/>
        <w:spacing w:before="200" w:line-rule="auto"/>
        <w:ind w:firstLine="540"/>
        <w:jc w:val="both"/>
      </w:pPr>
      <w:r>
        <w:rPr>
          <w:sz w:val="20"/>
        </w:rPr>
        <w:t xml:space="preserve">6) информацию о возможности заказчика заключить контракты, указанные в части 10 статьи 34 настоящего Федерального закона, с несколькими участниками закупки на выполнение составляющих объект закупки двух и более поисковых научно-исследовательских работ в отношении одного предмета и с одними и теми же условиями контракта, указанными в конкурсной документации, с указанием количества указанных контрактов. В этом случае в качестве начальной (максимальной) цены контракта указывается начальная (максимальная) цена одного контракта. При этом начальная (максимальная) цена всех контрактов на выполнение поисковых научно-исследовательских работ является одинаковой и их общая начальная (максимальная) цена равняется сумме начальных (максимальных) цен всех таких контрактов;</w:t>
      </w:r>
    </w:p>
    <w:p>
      <w:pPr>
        <w:pStyle w:val="0"/>
        <w:spacing w:before="200" w:line-rule="auto"/>
        <w:ind w:firstLine="540"/>
        <w:jc w:val="both"/>
      </w:pPr>
      <w:r>
        <w:rPr>
          <w:sz w:val="20"/>
        </w:rPr>
        <w:t xml:space="preserve">7) порядок предоставления участникам закупки разъяснений положений конкурсной документации, даты начала и окончания срока такого предоставления;</w:t>
      </w:r>
    </w:p>
    <w:p>
      <w:pPr>
        <w:pStyle w:val="0"/>
        <w:spacing w:before="200" w:line-rule="auto"/>
        <w:ind w:firstLine="540"/>
        <w:jc w:val="both"/>
      </w:pPr>
      <w:r>
        <w:rPr>
          <w:sz w:val="20"/>
        </w:rPr>
        <w:t xml:space="preserve">8) критерии оценки заявок на участие в открытом конкурсе в электронной форме, величины значимости этих критериев, порядок рассмотрения и оценки заявок на участие в открытом конкурсе в электронной форме в соответствии с настоящим Федеральным законом;</w:t>
      </w:r>
    </w:p>
    <w:p>
      <w:pPr>
        <w:pStyle w:val="0"/>
        <w:spacing w:before="200" w:line-rule="auto"/>
        <w:ind w:firstLine="540"/>
        <w:jc w:val="both"/>
      </w:pPr>
      <w:r>
        <w:rPr>
          <w:sz w:val="20"/>
        </w:rPr>
        <w:t xml:space="preserve">9) размер и условия обеспечения исполнения контракта, а также каждого контракта в случаях, предусмотренных пунктом 6 настоящей части, исходя из общей начальной (максимальной) цены пропорционально количеству указанных контрактов с учетом требований части 6 статьи 96 настоящего Федерального закона;</w:t>
      </w:r>
    </w:p>
    <w:p>
      <w:pPr>
        <w:pStyle w:val="0"/>
        <w:spacing w:before="200" w:line-rule="auto"/>
        <w:ind w:firstLine="540"/>
        <w:jc w:val="both"/>
      </w:pPr>
      <w:r>
        <w:rPr>
          <w:sz w:val="20"/>
        </w:rPr>
        <w:t xml:space="preserve">10) информацию о контрактной службе, контрактном управляющем, ответственных за заключение контракта, срок, в течение которого победитель открытого конкурса в электронной форме или иной его участник, с которым заключается контракт в соответствии с настоящим Федеральным законом, должен подписать контракт, условия признания победителя открытого конкурса в электронной форме или данного участника уклонившимися от заключения контракта;</w:t>
      </w:r>
    </w:p>
    <w:p>
      <w:pPr>
        <w:pStyle w:val="0"/>
        <w:spacing w:before="200" w:line-rule="auto"/>
        <w:ind w:firstLine="540"/>
        <w:jc w:val="both"/>
      </w:pPr>
      <w:r>
        <w:rPr>
          <w:sz w:val="20"/>
        </w:rPr>
        <w:t xml:space="preserve">11) информацию о возможности одностороннего отказа от исполнения контракта в соответствии с положениями частей 8 - 25 статьи 95 настоящего Федерального закона.</w:t>
      </w:r>
    </w:p>
    <w:p>
      <w:pPr>
        <w:pStyle w:val="0"/>
        <w:spacing w:before="200" w:line-rule="auto"/>
        <w:ind w:firstLine="540"/>
        <w:jc w:val="both"/>
      </w:pPr>
      <w:r>
        <w:rPr>
          <w:sz w:val="20"/>
        </w:rPr>
        <w:t xml:space="preserve">Согласно п. 16 Раздела 2 Конкурсной документации, к участникам закупки устанавливаются следующие единые требования:</w:t>
      </w:r>
    </w:p>
    <w:p>
      <w:pPr>
        <w:pStyle w:val="0"/>
        <w:spacing w:before="200" w:line-rule="auto"/>
        <w:ind w:firstLine="540"/>
        <w:jc w:val="both"/>
      </w:pPr>
      <w:r>
        <w:rPr>
          <w:sz w:val="20"/>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pPr>
        <w:pStyle w:val="0"/>
        <w:spacing w:before="200" w:line-rule="auto"/>
        <w:ind w:firstLine="540"/>
        <w:jc w:val="both"/>
      </w:pPr>
      <w:r>
        <w:rPr>
          <w:sz w:val="20"/>
        </w:rPr>
        <w:t xml:space="preserve">2) неприостановление деятельности участника закупки в порядке, установленном </w:t>
      </w:r>
      <w:r>
        <w:rPr>
          <w:sz w:val="20"/>
        </w:rPr>
        <w:t xml:space="preserve">Кодексом</w:t>
      </w:r>
      <w:r>
        <w:rPr>
          <w:sz w:val="20"/>
        </w:rPr>
        <w:t xml:space="preserve"> Российской Федерации об административных правонарушениях, на дату подачи заявки на участие в закупке;</w:t>
      </w:r>
    </w:p>
    <w:p>
      <w:pPr>
        <w:pStyle w:val="0"/>
        <w:spacing w:before="200" w:line-rule="auto"/>
        <w:ind w:firstLine="540"/>
        <w:jc w:val="both"/>
      </w:pPr>
      <w:r>
        <w:rPr>
          <w:sz w:val="20"/>
        </w:rPr>
        <w:t xml:space="preserve">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pPr>
        <w:pStyle w:val="0"/>
        <w:spacing w:before="200" w:line-rule="auto"/>
        <w:ind w:firstLine="540"/>
        <w:jc w:val="both"/>
      </w:pPr>
      <w:r>
        <w:rPr>
          <w:sz w:val="20"/>
        </w:rPr>
        <w:t xml:space="preserve">4)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r>
        <w:rPr>
          <w:sz w:val="20"/>
        </w:rPr>
        <w:t xml:space="preserve">статьями 289</w:t>
      </w:r>
      <w:r>
        <w:rPr>
          <w:sz w:val="20"/>
        </w:rPr>
        <w:t xml:space="preserve">, </w:t>
      </w:r>
      <w:r>
        <w:rPr>
          <w:sz w:val="20"/>
        </w:rPr>
        <w:t xml:space="preserve">290</w:t>
      </w:r>
      <w:r>
        <w:rPr>
          <w:sz w:val="20"/>
        </w:rPr>
        <w:t xml:space="preserve">, </w:t>
      </w:r>
      <w:r>
        <w:rPr>
          <w:sz w:val="20"/>
        </w:rPr>
        <w:t xml:space="preserve">291</w:t>
      </w:r>
      <w:r>
        <w:rPr>
          <w:sz w:val="20"/>
        </w:rPr>
        <w:t xml:space="preserve">, </w:t>
      </w:r>
      <w:r>
        <w:rPr>
          <w:sz w:val="20"/>
        </w:rPr>
        <w:t xml:space="preserve">291.1</w:t>
      </w:r>
      <w:r>
        <w:rPr>
          <w:sz w:val="20"/>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pPr>
        <w:pStyle w:val="0"/>
        <w:spacing w:before="200" w:line-rule="auto"/>
        <w:ind w:firstLine="540"/>
        <w:jc w:val="both"/>
      </w:pPr>
      <w:r>
        <w:rPr>
          <w:sz w:val="20"/>
        </w:rPr>
        <w:t xml:space="preserve">5)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r>
        <w:rPr>
          <w:sz w:val="20"/>
        </w:rPr>
        <w:t xml:space="preserve">статьей 19.28</w:t>
      </w:r>
      <w:r>
        <w:rPr>
          <w:sz w:val="20"/>
        </w:rPr>
        <w:t xml:space="preserve"> Кодекса Российской Федерации об административных правонарушениях;</w:t>
      </w:r>
    </w:p>
    <w:p>
      <w:pPr>
        <w:pStyle w:val="0"/>
        <w:spacing w:before="200" w:line-rule="auto"/>
        <w:ind w:firstLine="540"/>
        <w:jc w:val="both"/>
      </w:pPr>
      <w:r>
        <w:rPr>
          <w:sz w:val="20"/>
        </w:rPr>
        <w:t xml:space="preserve">6)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pPr>
        <w:pStyle w:val="0"/>
        <w:spacing w:before="200" w:line-rule="auto"/>
        <w:ind w:firstLine="540"/>
        <w:jc w:val="both"/>
      </w:pPr>
      <w:r>
        <w:rPr>
          <w:sz w:val="20"/>
        </w:rPr>
        <w:t xml:space="preserve">7) участник закупки не является офшорной компанией;</w:t>
      </w:r>
    </w:p>
    <w:p>
      <w:pPr>
        <w:pStyle w:val="0"/>
        <w:spacing w:before="200" w:line-rule="auto"/>
        <w:ind w:firstLine="540"/>
        <w:jc w:val="both"/>
      </w:pPr>
      <w:r>
        <w:rPr>
          <w:sz w:val="20"/>
        </w:rPr>
        <w:t xml:space="preserve">8) отсутствие у участника закупки ограничений для участия в закупках, установленных законодательством Российской Федерации.</w:t>
      </w:r>
    </w:p>
    <w:p>
      <w:pPr>
        <w:pStyle w:val="0"/>
        <w:spacing w:before="200" w:line-rule="auto"/>
        <w:ind w:firstLine="540"/>
        <w:jc w:val="both"/>
      </w:pPr>
      <w:r>
        <w:rPr>
          <w:sz w:val="20"/>
        </w:rPr>
        <w:t xml:space="preserve">9) отсутствие в предусмотренном Федеральным </w:t>
      </w:r>
      <w:r>
        <w:rPr>
          <w:sz w:val="20"/>
        </w:rPr>
        <w:t xml:space="preserve">законом</w:t>
      </w:r>
      <w:r>
        <w:rPr>
          <w:sz w:val="20"/>
        </w:rPr>
        <w:t xml:space="preserve"> от 05.04.2013 г. N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pPr>
        <w:pStyle w:val="0"/>
        <w:spacing w:before="200" w:line-rule="auto"/>
        <w:ind w:firstLine="540"/>
        <w:jc w:val="both"/>
      </w:pPr>
      <w:r>
        <w:rPr>
          <w:sz w:val="20"/>
        </w:rPr>
        <w:t xml:space="preserve">В соответствии с ч. 4 ст. 54.7 Закона о закупках заявка на участие в открытом конкурсе в электронной форме признается не соответствующей требованиям, установленным конкурсной документацией:</w:t>
      </w:r>
    </w:p>
    <w:p>
      <w:pPr>
        <w:pStyle w:val="0"/>
        <w:spacing w:before="200" w:line-rule="auto"/>
        <w:ind w:firstLine="540"/>
        <w:jc w:val="both"/>
      </w:pPr>
      <w:r>
        <w:rPr>
          <w:sz w:val="20"/>
        </w:rPr>
        <w:t xml:space="preserve">1) в случае непредставления документов и информации, предусмотренных пунктами 1 - 3, 7 части 6 статьи 54.4 настоящего Федерального закона, либо несоответствия указанных документов и информации требованиям, установленным конкурсной документацией;</w:t>
      </w:r>
    </w:p>
    <w:p>
      <w:pPr>
        <w:pStyle w:val="0"/>
        <w:spacing w:before="200" w:line-rule="auto"/>
        <w:ind w:firstLine="540"/>
        <w:jc w:val="both"/>
      </w:pPr>
      <w:r>
        <w:rPr>
          <w:sz w:val="20"/>
        </w:rPr>
        <w:t xml:space="preserve">2) в случае наличия в документах и информации, предусмотренных частью 11 статьи 24.1, частями 4 и 6 статьи 54.4 настоящего Федерального закона, недостоверной информации на дату и время рассмотрения вторых частей заявок на участие в таком конкурсе;</w:t>
      </w:r>
    </w:p>
    <w:p>
      <w:pPr>
        <w:pStyle w:val="0"/>
        <w:spacing w:before="200" w:line-rule="auto"/>
        <w:ind w:firstLine="540"/>
        <w:jc w:val="both"/>
      </w:pPr>
      <w:r>
        <w:rPr>
          <w:sz w:val="20"/>
        </w:rPr>
        <w:t xml:space="preserve">3) в случае несоответствия участника такого конкурса требованиям, установленным конкурсной документацией в соответствии с частью 1, частями 1.1 и 2.1 (при наличии таких требований) статьи 31 настоящего Федерального закона;</w:t>
      </w:r>
    </w:p>
    <w:p>
      <w:pPr>
        <w:pStyle w:val="0"/>
        <w:spacing w:before="200" w:line-rule="auto"/>
        <w:ind w:firstLine="540"/>
        <w:jc w:val="both"/>
      </w:pPr>
      <w:r>
        <w:rPr>
          <w:sz w:val="20"/>
        </w:rPr>
        <w:t xml:space="preserve">4) в случаях, предусмотренных нормативными правовыми актами, принятыми в соответствии со статьей 14 настоящего Федерального закона;</w:t>
      </w:r>
    </w:p>
    <w:p>
      <w:pPr>
        <w:pStyle w:val="0"/>
        <w:spacing w:before="200" w:line-rule="auto"/>
        <w:ind w:firstLine="540"/>
        <w:jc w:val="both"/>
      </w:pPr>
      <w:r>
        <w:rPr>
          <w:sz w:val="20"/>
        </w:rPr>
        <w:t xml:space="preserve">5) в случае непредставления документов, предусмотренных пунктом 5 части 6 статьи 54.4 настоящего Федерального закона, при осуществлении закупки товаров, работ, услуг, в отношении которых установлен запрет, предусмотренный статьей 14 настоящего Федерального закона.</w:t>
      </w:r>
    </w:p>
    <w:p>
      <w:pPr>
        <w:pStyle w:val="0"/>
        <w:spacing w:before="200" w:line-rule="auto"/>
        <w:ind w:firstLine="540"/>
        <w:jc w:val="both"/>
      </w:pPr>
      <w:r>
        <w:rPr>
          <w:sz w:val="20"/>
        </w:rPr>
        <w:t xml:space="preserve">В соответствии с вышеупомянутым Комиссия отмечает, что Конкурсная комиссия основываясь на положениях Закона о закупках и требованиях, установленных в конкурсной документации правомерно допустила заявку ООО "У" к участию в конкурсе.</w:t>
      </w:r>
    </w:p>
    <w:p>
      <w:pPr>
        <w:pStyle w:val="0"/>
        <w:spacing w:before="200" w:line-rule="auto"/>
        <w:ind w:firstLine="540"/>
        <w:jc w:val="both"/>
      </w:pPr>
      <w:r>
        <w:rPr>
          <w:sz w:val="20"/>
        </w:rPr>
        <w:t xml:space="preserve">Таким образом, Комиссия приходит к выводу о необоснованности довода Заявителя.</w:t>
      </w:r>
    </w:p>
    <w:p>
      <w:pPr>
        <w:pStyle w:val="0"/>
        <w:spacing w:before="200" w:line-rule="auto"/>
        <w:ind w:firstLine="540"/>
        <w:jc w:val="both"/>
      </w:pPr>
      <w:r>
        <w:rPr>
          <w:sz w:val="20"/>
        </w:rPr>
        <w:t xml:space="preserve">На основании </w:t>
      </w:r>
      <w:r>
        <w:rPr>
          <w:sz w:val="20"/>
        </w:rPr>
        <w:t xml:space="preserve">статей 99</w:t>
      </w:r>
      <w:r>
        <w:rPr>
          <w:sz w:val="20"/>
        </w:rPr>
        <w:t xml:space="preserve">, </w:t>
      </w:r>
      <w:r>
        <w:rPr>
          <w:sz w:val="20"/>
        </w:rPr>
        <w:t xml:space="preserve">106</w:t>
      </w:r>
      <w:r>
        <w:rPr>
          <w:sz w:val="20"/>
        </w:rPr>
        <w:t xml:space="preserve"> Федерального закона "О контрактной системе в сфере закупок товаров, работ, услуг для обеспечения государственных и муниципальных нужд" Комиссия,</w:t>
      </w:r>
    </w:p>
    <w:p>
      <w:pPr>
        <w:pStyle w:val="0"/>
        <w:jc w:val="center"/>
      </w:pPr>
      <w:r>
        <w:rPr>
          <w:sz w:val="20"/>
        </w:rPr>
      </w:r>
    </w:p>
    <w:p>
      <w:pPr>
        <w:pStyle w:val="0"/>
        <w:jc w:val="center"/>
      </w:pPr>
      <w:r>
        <w:rPr>
          <w:sz w:val="20"/>
        </w:rPr>
        <w:t xml:space="preserve">решила:</w:t>
      </w:r>
    </w:p>
    <w:p>
      <w:pPr>
        <w:pStyle w:val="0"/>
        <w:jc w:val="center"/>
      </w:pPr>
      <w:r>
        <w:rPr>
          <w:sz w:val="20"/>
        </w:rPr>
      </w:r>
    </w:p>
    <w:p>
      <w:pPr>
        <w:pStyle w:val="0"/>
        <w:ind w:firstLine="540"/>
        <w:jc w:val="both"/>
      </w:pPr>
      <w:r>
        <w:rPr>
          <w:sz w:val="20"/>
        </w:rPr>
        <w:t xml:space="preserve">Признать жалобу ЗАО "О" на действия ГУ - Пермское РО ФСС РФ при проведении открытого конкурса в электронной форме на выполнение работ в 2021 году по изготовлению протезов нижних конечностей для обеспечения инвалидов и отдельных категорий граждан из числа ветеранов, проживающих на территории Пермского края (изв. N 0256100000220000379) необоснованной.</w:t>
      </w:r>
    </w:p>
    <w:p>
      <w:pPr>
        <w:pStyle w:val="0"/>
        <w:spacing w:before="200" w:line-rule="auto"/>
        <w:ind w:firstLine="540"/>
        <w:jc w:val="both"/>
      </w:pPr>
      <w:r>
        <w:rPr>
          <w:sz w:val="20"/>
        </w:rPr>
        <w:t xml:space="preserve">Настоящее решение может быть обжаловано в судебном порядке в течение трех месяцев со дня его принятия.</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p>
      <w:pPr>
        <w:pStyle w:val="0"/>
      </w:pPr>
      <w:r>
        <w:rPr>
          <w:sz w:val="16"/>
        </w:rPr>
      </w:r>
    </w:p>
    <w:sectPr>
      <w:pgSz w:w="11906" w:h="16838"/>
      <w:pgMar w:top="1440" w:right="566" w:bottom="1440" w:left="1133" w:header="0" w:footer="0" w:gutter="0"/>
      <w:titlePg/>
    </w:sectPr>
  </w:body>
</w:document>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Application>КонсультантПлюс Версия 4022.00.55</Application>
  <Company>КонсультантПлюс Версия 4022.00.55</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Пермского УФАС России от 05.02.2021
Обстоятельства: Поступила жалоба на действия Конкурсной комиссии при проведении открытого конкурса в электронной форме на выполнение работ в 2021 году по изготовлению протезов нижних конечностей для обеспечения инвалидов и отдельных категорий граждан из числа ветеранов, Заявитель полагает, что Конкурсная комиссия неправомерно допустила заявку ООО к участию в конкурсе, так как с учетом предмета закупки участник должен иметь соответствующий ОКВЭД, позволяющий осущес</dc:title>
  <dcterms:created xsi:type="dcterms:W3CDTF">2022-12-08T05:31:01Z</dcterms:created>
</cp:coreProperties>
</file>